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4C2" w:rsidRPr="00F624C2" w:rsidRDefault="00F624C2">
      <w:pPr>
        <w:rPr>
          <w:b/>
          <w:sz w:val="28"/>
          <w:szCs w:val="28"/>
          <w:u w:val="single"/>
        </w:rPr>
      </w:pPr>
      <w:r w:rsidRPr="00F624C2">
        <w:rPr>
          <w:b/>
          <w:sz w:val="28"/>
          <w:szCs w:val="28"/>
          <w:u w:val="single"/>
        </w:rPr>
        <w:t>The Malaysia Solution</w:t>
      </w:r>
      <w:r w:rsidR="00F7624F">
        <w:rPr>
          <w:b/>
          <w:sz w:val="28"/>
          <w:szCs w:val="28"/>
          <w:u w:val="single"/>
        </w:rPr>
        <w:t xml:space="preserve"> - TANIKA</w:t>
      </w:r>
      <w:bookmarkStart w:id="0" w:name="_GoBack"/>
      <w:bookmarkEnd w:id="0"/>
    </w:p>
    <w:p w:rsidR="00F624C2" w:rsidRDefault="00F624C2"/>
    <w:p w:rsidR="00644053" w:rsidRDefault="00F624C2">
      <w:r w:rsidRPr="00F624C2">
        <w:rPr>
          <w:b/>
        </w:rPr>
        <w:t>Name:</w:t>
      </w:r>
      <w:r>
        <w:t xml:space="preserve"> Migration Act 1958</w:t>
      </w:r>
    </w:p>
    <w:p w:rsidR="00F624C2" w:rsidRDefault="00F624C2">
      <w:r w:rsidRPr="00F624C2">
        <w:rPr>
          <w:b/>
        </w:rPr>
        <w:t>Year:</w:t>
      </w:r>
      <w:r>
        <w:t xml:space="preserve"> August 2011</w:t>
      </w:r>
    </w:p>
    <w:p w:rsidR="00F624C2" w:rsidRDefault="00F624C2">
      <w:r w:rsidRPr="00F624C2">
        <w:rPr>
          <w:b/>
        </w:rPr>
        <w:t>Prime Minister:</w:t>
      </w:r>
      <w:r>
        <w:t xml:space="preserve"> Julia Gillard</w:t>
      </w:r>
    </w:p>
    <w:p w:rsidR="00F624C2" w:rsidRDefault="00F624C2"/>
    <w:p w:rsidR="00F624C2" w:rsidRDefault="00F624C2">
      <w:pPr>
        <w:rPr>
          <w:rFonts w:cs="Times"/>
        </w:rPr>
      </w:pPr>
      <w:r w:rsidRPr="00F624C2">
        <w:rPr>
          <w:b/>
        </w:rPr>
        <w:t>Reasons:</w:t>
      </w:r>
      <w:r>
        <w:t xml:space="preserve"> </w:t>
      </w:r>
      <w:r w:rsidRPr="00F624C2">
        <w:rPr>
          <w:rFonts w:cs="Times"/>
        </w:rPr>
        <w:t xml:space="preserve">The declaration was challenged at the High Court by two citizens of Afghanistan, an adult referred to as “M70” and an unaccompanied child referred to as “M106”. Both were being detained at Christmas Island by the </w:t>
      </w:r>
      <w:hyperlink r:id="rId5" w:history="1">
        <w:r w:rsidRPr="00F624C2">
          <w:rPr>
            <w:rFonts w:cs="Times"/>
            <w:u w:val="single" w:color="8E7C54"/>
          </w:rPr>
          <w:t>Department of Immigration and Citizenship</w:t>
        </w:r>
      </w:hyperlink>
      <w:r w:rsidRPr="00F624C2">
        <w:rPr>
          <w:rFonts w:cs="Times"/>
        </w:rPr>
        <w:t>, and both were liable to being transported to Malaysia under the Arrangement.</w:t>
      </w:r>
    </w:p>
    <w:p w:rsidR="00F624C2" w:rsidRDefault="00F624C2">
      <w:pPr>
        <w:rPr>
          <w:rFonts w:cs="Times"/>
        </w:rPr>
      </w:pPr>
    </w:p>
    <w:p w:rsidR="00F624C2" w:rsidRPr="00F624C2" w:rsidRDefault="00F624C2" w:rsidP="00F624C2">
      <w:pPr>
        <w:widowControl w:val="0"/>
        <w:autoSpaceDE w:val="0"/>
        <w:autoSpaceDN w:val="0"/>
        <w:adjustRightInd w:val="0"/>
        <w:spacing w:after="240"/>
        <w:rPr>
          <w:rFonts w:cs="Times"/>
        </w:rPr>
      </w:pPr>
      <w:r w:rsidRPr="00F624C2">
        <w:rPr>
          <w:rFonts w:cs="Times"/>
          <w:b/>
        </w:rPr>
        <w:t>About:</w:t>
      </w:r>
      <w:r>
        <w:rPr>
          <w:rFonts w:cs="Times"/>
        </w:rPr>
        <w:t xml:space="preserve"> </w:t>
      </w:r>
      <w:r w:rsidRPr="00F624C2">
        <w:rPr>
          <w:rFonts w:cs="Times"/>
        </w:rPr>
        <w:t xml:space="preserve">Central to their challenge was the criteria that must be satisfied for the Minister to make a declaration of a country that an “offshore entry person” may be taken to.  The criteria are contained in section 198A of the </w:t>
      </w:r>
      <w:r w:rsidRPr="00F624C2">
        <w:rPr>
          <w:rFonts w:cs="Times"/>
          <w:i/>
          <w:iCs/>
        </w:rPr>
        <w:t>Migration Act</w:t>
      </w:r>
      <w:r w:rsidRPr="00F624C2">
        <w:rPr>
          <w:rFonts w:cs="Times"/>
        </w:rPr>
        <w:t>. That criteria contained in section 198A(3) provides that the Minister may declare that a country provides: (1) access to effective procedures for assessing refugee status, (2) protection in the mean time, (3) protection of those granted refugee status, (4) and that the country “meets relevant human rights standards in providing that protection”.</w:t>
      </w:r>
    </w:p>
    <w:p w:rsidR="00F624C2" w:rsidRPr="00F624C2" w:rsidRDefault="00F624C2" w:rsidP="00F624C2">
      <w:pPr>
        <w:widowControl w:val="0"/>
        <w:autoSpaceDE w:val="0"/>
        <w:autoSpaceDN w:val="0"/>
        <w:adjustRightInd w:val="0"/>
        <w:spacing w:after="240"/>
        <w:rPr>
          <w:rFonts w:cs="Times"/>
        </w:rPr>
      </w:pPr>
      <w:r w:rsidRPr="00F624C2">
        <w:rPr>
          <w:rFonts w:cs="Times"/>
        </w:rPr>
        <w:t xml:space="preserve">The key to understanding the Malaysia Solution case is contained in one paragraph – paragraph 106 – of the reasons of the joint majority </w:t>
      </w:r>
      <w:proofErr w:type="spellStart"/>
      <w:r w:rsidRPr="00F624C2">
        <w:rPr>
          <w:rFonts w:cs="Times"/>
        </w:rPr>
        <w:t>judgement</w:t>
      </w:r>
      <w:proofErr w:type="spellEnd"/>
      <w:r w:rsidRPr="00F624C2">
        <w:rPr>
          <w:rFonts w:cs="Times"/>
        </w:rPr>
        <w:t xml:space="preserve"> (made by Justices </w:t>
      </w:r>
      <w:proofErr w:type="spellStart"/>
      <w:r w:rsidRPr="00F624C2">
        <w:rPr>
          <w:rFonts w:cs="Times"/>
        </w:rPr>
        <w:t>Gummow</w:t>
      </w:r>
      <w:proofErr w:type="spellEnd"/>
      <w:r w:rsidRPr="00F624C2">
        <w:rPr>
          <w:rFonts w:cs="Times"/>
        </w:rPr>
        <w:t xml:space="preserve">, Hayne, </w:t>
      </w:r>
      <w:proofErr w:type="spellStart"/>
      <w:r w:rsidRPr="00F624C2">
        <w:rPr>
          <w:rFonts w:cs="Times"/>
        </w:rPr>
        <w:t>Crennan</w:t>
      </w:r>
      <w:proofErr w:type="spellEnd"/>
      <w:r w:rsidRPr="00F624C2">
        <w:rPr>
          <w:rFonts w:cs="Times"/>
        </w:rPr>
        <w:t xml:space="preserve"> and Bell):</w:t>
      </w:r>
    </w:p>
    <w:p w:rsidR="00F624C2" w:rsidRPr="00F624C2" w:rsidRDefault="00F624C2" w:rsidP="00F624C2">
      <w:pPr>
        <w:widowControl w:val="0"/>
        <w:autoSpaceDE w:val="0"/>
        <w:autoSpaceDN w:val="0"/>
        <w:adjustRightInd w:val="0"/>
        <w:spacing w:after="240"/>
        <w:rPr>
          <w:rFonts w:cs="Times"/>
        </w:rPr>
      </w:pPr>
      <w:r w:rsidRPr="00F624C2">
        <w:rPr>
          <w:rFonts w:cs="Times"/>
        </w:rPr>
        <w:t xml:space="preserve">… Section 198A(3)(a) does not refer to the Minister being </w:t>
      </w:r>
      <w:r w:rsidRPr="00F624C2">
        <w:rPr>
          <w:rFonts w:cs="Times"/>
          <w:i/>
          <w:iCs/>
        </w:rPr>
        <w:t>satisfied</w:t>
      </w:r>
      <w:r w:rsidRPr="00F624C2">
        <w:rPr>
          <w:rFonts w:cs="Times"/>
        </w:rPr>
        <w:t xml:space="preserve"> of the existence of those criteria … Rather, the Minister is given a discretion, and thus has power, to declare that a specified country </w:t>
      </w:r>
      <w:r w:rsidRPr="00F624C2">
        <w:rPr>
          <w:rFonts w:cs="Times"/>
          <w:i/>
          <w:iCs/>
        </w:rPr>
        <w:t>has</w:t>
      </w:r>
      <w:r w:rsidRPr="00F624C2">
        <w:rPr>
          <w:rFonts w:cs="Times"/>
        </w:rPr>
        <w:t xml:space="preserve"> the relevant characteristics. On its face, it is not a power to declare that the Minister </w:t>
      </w:r>
      <w:r w:rsidRPr="00F624C2">
        <w:rPr>
          <w:rFonts w:cs="Times"/>
          <w:i/>
          <w:iCs/>
        </w:rPr>
        <w:t>thinks</w:t>
      </w:r>
      <w:r w:rsidRPr="00F624C2">
        <w:rPr>
          <w:rFonts w:cs="Times"/>
        </w:rPr>
        <w:t xml:space="preserve"> or </w:t>
      </w:r>
      <w:r w:rsidRPr="00F624C2">
        <w:rPr>
          <w:rFonts w:cs="Times"/>
          <w:i/>
          <w:iCs/>
        </w:rPr>
        <w:t>believes</w:t>
      </w:r>
      <w:r w:rsidRPr="00F624C2">
        <w:rPr>
          <w:rFonts w:cs="Times"/>
        </w:rPr>
        <w:t xml:space="preserve"> or is </w:t>
      </w:r>
      <w:r w:rsidRPr="00F624C2">
        <w:rPr>
          <w:rFonts w:cs="Times"/>
          <w:i/>
          <w:iCs/>
        </w:rPr>
        <w:t>satisfied</w:t>
      </w:r>
      <w:r w:rsidRPr="00F624C2">
        <w:rPr>
          <w:rFonts w:cs="Times"/>
        </w:rPr>
        <w:t xml:space="preserve"> that the country has those characteristics.</w:t>
      </w:r>
    </w:p>
    <w:p w:rsidR="00F624C2" w:rsidRPr="00F624C2" w:rsidRDefault="00F624C2" w:rsidP="00F624C2">
      <w:pPr>
        <w:rPr>
          <w:rFonts w:cs="Times"/>
        </w:rPr>
      </w:pPr>
      <w:r w:rsidRPr="00F624C2">
        <w:rPr>
          <w:rFonts w:cs="Times"/>
        </w:rPr>
        <w:t>In other words, the criteria – such as the requirement that a destination country “meets relevant human rights standards” – is not satisfied by the subjective opinion of the Minister, but on an objective assessment of the protections that a destination country provides. The criteria are questions of fact (technically called ‘jurisdictional facts’ as the jurisdiction or power of the Minister is not enlivened except where the facts exist). In other words, Malaysia did not (and does not) have the required protections in place.</w:t>
      </w:r>
    </w:p>
    <w:p w:rsidR="00F624C2" w:rsidRDefault="00F624C2">
      <w:pPr>
        <w:rPr>
          <w:rFonts w:cs="Times"/>
        </w:rPr>
      </w:pPr>
    </w:p>
    <w:p w:rsidR="00F624C2" w:rsidRDefault="00F624C2">
      <w:pPr>
        <w:rPr>
          <w:rFonts w:cs="Times"/>
        </w:rPr>
      </w:pPr>
      <w:r w:rsidRPr="00F624C2">
        <w:rPr>
          <w:rFonts w:cs="Times"/>
          <w:b/>
        </w:rPr>
        <w:t>Result:</w:t>
      </w:r>
      <w:r w:rsidRPr="00F624C2">
        <w:rPr>
          <w:rFonts w:ascii="Times" w:hAnsi="Times" w:cs="Times"/>
          <w:sz w:val="26"/>
          <w:szCs w:val="26"/>
        </w:rPr>
        <w:t xml:space="preserve"> </w:t>
      </w:r>
      <w:r w:rsidRPr="00F624C2">
        <w:rPr>
          <w:rFonts w:cs="Times"/>
        </w:rPr>
        <w:t>The Minister’s declaration of Malaysia as a destination country was therefore found to be invalid, being beyond the power of the Minister under the sec</w:t>
      </w:r>
      <w:r>
        <w:rPr>
          <w:rFonts w:cs="Times"/>
        </w:rPr>
        <w:t>t</w:t>
      </w:r>
      <w:r w:rsidRPr="00F624C2">
        <w:rPr>
          <w:rFonts w:cs="Times"/>
        </w:rPr>
        <w:t xml:space="preserve">ion 198A(3) of the </w:t>
      </w:r>
      <w:r w:rsidRPr="00F624C2">
        <w:rPr>
          <w:rFonts w:cs="Times"/>
          <w:i/>
          <w:iCs/>
        </w:rPr>
        <w:t>Migration Act</w:t>
      </w:r>
      <w:r w:rsidRPr="00F624C2">
        <w:rPr>
          <w:rFonts w:cs="Times"/>
        </w:rPr>
        <w:t>.</w:t>
      </w:r>
    </w:p>
    <w:p w:rsidR="00F624C2" w:rsidRDefault="00F624C2">
      <w:pPr>
        <w:rPr>
          <w:rFonts w:cs="Times"/>
        </w:rPr>
      </w:pPr>
    </w:p>
    <w:p w:rsidR="00F624C2" w:rsidRDefault="00F624C2">
      <w:pPr>
        <w:rPr>
          <w:rFonts w:cs="Times"/>
        </w:rPr>
      </w:pPr>
      <w:r w:rsidRPr="00A35B5E">
        <w:rPr>
          <w:rFonts w:cs="Times"/>
          <w:b/>
        </w:rPr>
        <w:t>Pressure Group</w:t>
      </w:r>
      <w:r w:rsidR="00A35B5E">
        <w:rPr>
          <w:rFonts w:cs="Times"/>
          <w:b/>
        </w:rPr>
        <w:t>s</w:t>
      </w:r>
      <w:r w:rsidRPr="00A35B5E">
        <w:rPr>
          <w:rFonts w:cs="Times"/>
          <w:b/>
        </w:rPr>
        <w:t>:</w:t>
      </w:r>
      <w:r w:rsidR="00A35B5E">
        <w:rPr>
          <w:rFonts w:cs="Times"/>
        </w:rPr>
        <w:t xml:space="preserve"> Human Rights Groups and </w:t>
      </w:r>
      <w:r w:rsidR="00A35B5E" w:rsidRPr="00A35B5E">
        <w:rPr>
          <w:rFonts w:cs="Arial"/>
          <w:bCs/>
          <w:color w:val="343434"/>
        </w:rPr>
        <w:t>United Nations High Commissioner for Refugees.</w:t>
      </w:r>
    </w:p>
    <w:p w:rsidR="00F624C2" w:rsidRDefault="00F624C2">
      <w:pPr>
        <w:rPr>
          <w:rFonts w:cs="Times"/>
        </w:rPr>
      </w:pPr>
    </w:p>
    <w:p w:rsidR="00F624C2" w:rsidRDefault="00F624C2">
      <w:r w:rsidRPr="00A35B5E">
        <w:rPr>
          <w:rFonts w:cs="Times"/>
          <w:b/>
        </w:rPr>
        <w:t>Mandate:</w:t>
      </w:r>
      <w:r w:rsidR="00A35B5E">
        <w:rPr>
          <w:rFonts w:cs="Times"/>
        </w:rPr>
        <w:t xml:space="preserve"> </w:t>
      </w:r>
      <w:r w:rsidR="00A35B5E" w:rsidRPr="00A35B5E">
        <w:rPr>
          <w:rFonts w:cs="Times"/>
        </w:rPr>
        <w:t>to ens</w:t>
      </w:r>
      <w:r w:rsidR="00A35B5E">
        <w:rPr>
          <w:rFonts w:cs="Times"/>
        </w:rPr>
        <w:t xml:space="preserve">ure the protection of children and </w:t>
      </w:r>
      <w:r w:rsidR="00A35B5E">
        <w:rPr>
          <w:rFonts w:cs="Times New Roman"/>
          <w:color w:val="000000"/>
        </w:rPr>
        <w:t>i</w:t>
      </w:r>
      <w:r w:rsidR="00A35B5E" w:rsidRPr="00A35B5E">
        <w:rPr>
          <w:rFonts w:cs="Times New Roman"/>
          <w:color w:val="000000"/>
        </w:rPr>
        <w:t xml:space="preserve">ncarceration as the default response to </w:t>
      </w:r>
      <w:proofErr w:type="spellStart"/>
      <w:r w:rsidR="00A35B5E" w:rsidRPr="00A35B5E">
        <w:rPr>
          <w:rFonts w:cs="Times New Roman"/>
          <w:color w:val="000000"/>
        </w:rPr>
        <w:t>unauthorised</w:t>
      </w:r>
      <w:proofErr w:type="spellEnd"/>
      <w:r w:rsidR="00A35B5E" w:rsidRPr="00A35B5E">
        <w:rPr>
          <w:rFonts w:cs="Times New Roman"/>
          <w:color w:val="000000"/>
        </w:rPr>
        <w:t xml:space="preserve"> arrivals.</w:t>
      </w:r>
    </w:p>
    <w:sectPr w:rsidR="00F624C2" w:rsidSect="00A457B3">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4C2"/>
    <w:rsid w:val="00644053"/>
    <w:rsid w:val="00A35B5E"/>
    <w:rsid w:val="00A457B3"/>
    <w:rsid w:val="00F624C2"/>
    <w:rsid w:val="00F76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mmi.gov.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video Ezy Noranda</Company>
  <LinksUpToDate>false</LinksUpToDate>
  <CharactersWithSpaces>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Cionci</dc:creator>
  <cp:lastModifiedBy>Natasha Clark</cp:lastModifiedBy>
  <cp:revision>2</cp:revision>
  <cp:lastPrinted>2013-05-23T03:45:00Z</cp:lastPrinted>
  <dcterms:created xsi:type="dcterms:W3CDTF">2013-05-23T03:45:00Z</dcterms:created>
  <dcterms:modified xsi:type="dcterms:W3CDTF">2013-05-23T03:45:00Z</dcterms:modified>
</cp:coreProperties>
</file>